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附件 1</w:t>
      </w:r>
      <w:bookmarkStart w:id="0" w:name="_GoBack"/>
      <w:bookmarkEnd w:id="0"/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spacing w:before="130" w:line="299" w:lineRule="auto"/>
        <w:ind w:left="1840" w:right="941" w:hanging="1197"/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  <w:t>直属高校非学历教育整改报告提纲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一、整改工作的开展情况(不超过 1500 字)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二、自查发现的主要问题及原因分析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三、自查问题的整改举措与进展情况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四、合作办学情况及停止后的妥善处理措施及效果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五、进一步规范非学历教育有关考虑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(必须包含合作办学方面的内容， 不涉及可填“无 合作办学计划”)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六、贯彻落实《普通高等学校举办非学历教育管理规定 (试行)》存在的突出问题与建议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附： 1. 高校非学历教育对照检查整改清单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2. 佐证材料(可包括文档、图片、音视频等，按 整改清单序号进行命名)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sectPr>
          <w:footerReference r:id="rId5" w:type="default"/>
          <w:pgSz w:w="11906" w:h="16839"/>
          <w:pgMar w:top="1431" w:right="1785" w:bottom="1099" w:left="1785" w:header="0" w:footer="833" w:gutter="0"/>
          <w:cols w:space="720" w:num="1"/>
        </w:sect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附件 2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spacing w:before="130" w:line="299" w:lineRule="auto"/>
        <w:ind w:left="1840" w:right="941" w:hanging="1197"/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  <w:t>直属高校非学历教育归口管理部门联系表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单位：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700"/>
        <w:gridCol w:w="2124"/>
        <w:gridCol w:w="1700"/>
        <w:gridCol w:w="2692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归口部门名称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办公电话及手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机号码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办公电话及手机号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码</w:t>
            </w: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工作联系邮箱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2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注：直属高校有多个非学历教育归口管理部门的，请逐行填写。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sectPr>
          <w:footerReference r:id="rId6" w:type="default"/>
          <w:pgSz w:w="16839" w:h="11906"/>
          <w:pgMar w:top="1012" w:right="1885" w:bottom="1784" w:left="1793" w:header="0" w:footer="1514" w:gutter="0"/>
          <w:cols w:space="720" w:num="1"/>
        </w:sect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(此件依申请公开)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88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0"/>
        <w:gridCol w:w="4995"/>
      </w:tblGrid>
      <w:tr>
        <w:trPr>
          <w:trHeight w:val="569" w:hRule="atLeast"/>
        </w:trPr>
        <w:tc>
          <w:tcPr>
            <w:tcW w:w="881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部内发送：有关部领导，办公厅、财务司，驻部纪检监察组</w:t>
            </w:r>
          </w:p>
        </w:tc>
      </w:tr>
      <w:tr>
        <w:trPr>
          <w:trHeight w:val="500" w:hRule="atLeast"/>
        </w:trPr>
        <w:tc>
          <w:tcPr>
            <w:tcW w:w="3820" w:type="dxa"/>
            <w:tcBorders>
              <w:left w:val="nil"/>
              <w:right w:val="nil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教育部办公厅</w:t>
            </w:r>
          </w:p>
        </w:tc>
        <w:tc>
          <w:tcPr>
            <w:tcW w:w="4995" w:type="dxa"/>
            <w:tcBorders>
              <w:left w:val="nil"/>
              <w:right w:val="nil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2022 年 3 月 8 日印发</w:t>
            </w:r>
          </w:p>
        </w:tc>
      </w:tr>
    </w:tbl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footerReference r:id="rId7" w:type="default"/>
      <w:pgSz w:w="11906" w:h="16839"/>
      <w:pgMar w:top="1431" w:right="1545" w:bottom="1784" w:left="1545" w:header="0" w:footer="15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7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2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8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9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6FF0B6"/>
    <w:rsid w:val="79FB9E74"/>
    <w:rsid w:val="BBFF1CB9"/>
    <w:rsid w:val="EBB70DA1"/>
    <w:rsid w:val="FFFB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Office_4.2.0.6717_F1E327BC-269C-435d-A152-05C5408002CA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2022-03-10T00:55:00Z</dcterms:created>
  <dc:creator>jyb</dc:creator>
  <cp:lastModifiedBy>点·点·点·賲—滢</cp:lastModifiedBy>
  <dcterms:modified xsi:type="dcterms:W3CDTF">2022-09-19T21:40:05Z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2022-09-19T21:16:26Z</vt:filetime>
  </property>
  <property fmtid="{D5CDD505-2E9C-101B-9397-08002B2CF9AE}" pid="4" name="KSOProductBuildVer">
    <vt:lpwstr>2052-4.2.0.6717</vt:lpwstr>
  </property>
  <property fmtid="{D5CDD505-2E9C-101B-9397-08002B2CF9AE}" pid="5" name="ICV">
    <vt:lpwstr>3650A8770E444C02B2702863BF329B1E</vt:lpwstr>
  </property>
</Properties>
</file>